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971" w:rsidRDefault="00663A1E" w:rsidP="00394971">
      <w:pPr>
        <w:spacing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0"/>
          <w:szCs w:val="20"/>
        </w:rPr>
        <w:t>All. C.1</w:t>
      </w:r>
    </w:p>
    <w:p w:rsidR="004B4C72" w:rsidRDefault="0039177A" w:rsidP="00394971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ELENCO </w:t>
      </w:r>
      <w:r w:rsidR="009F6BC9">
        <w:rPr>
          <w:rFonts w:ascii="Times New Roman" w:hAnsi="Times New Roman" w:cs="Times New Roman"/>
          <w:b/>
          <w:bCs/>
          <w:sz w:val="20"/>
          <w:szCs w:val="20"/>
        </w:rPr>
        <w:t>CAUSE TRATTATE AI FINI DELL’ISCRIZIONE NELLA SEZIONE DI DIRITTO AMMINISTRATIVO, CON PARTICOLARE RIFERIMENTO ALLA CONTRATTUALISTICA PUBBLICA.</w:t>
      </w:r>
    </w:p>
    <w:p w:rsidR="00FF137F" w:rsidRPr="00FF137F" w:rsidRDefault="00FF137F" w:rsidP="00FF137F">
      <w:pPr>
        <w:spacing w:line="360" w:lineRule="auto"/>
        <w:jc w:val="center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[</w:t>
      </w:r>
      <w:r>
        <w:rPr>
          <w:rFonts w:ascii="Times New Roman" w:hAnsi="Times New Roman" w:cs="Times New Roman"/>
          <w:bCs/>
          <w:i/>
          <w:sz w:val="20"/>
          <w:szCs w:val="20"/>
        </w:rPr>
        <w:t>da compilare al computer adatt</w:t>
      </w:r>
      <w:r w:rsidR="00383E64">
        <w:rPr>
          <w:rFonts w:ascii="Times New Roman" w:hAnsi="Times New Roman" w:cs="Times New Roman"/>
          <w:bCs/>
          <w:i/>
          <w:sz w:val="20"/>
          <w:szCs w:val="20"/>
        </w:rPr>
        <w:t>ando le celle al testo inserito</w:t>
      </w:r>
      <w:r>
        <w:rPr>
          <w:rFonts w:ascii="Times New Roman" w:hAnsi="Times New Roman" w:cs="Times New Roman"/>
          <w:bCs/>
          <w:sz w:val="20"/>
          <w:szCs w:val="20"/>
        </w:rPr>
        <w:t>]</w:t>
      </w:r>
    </w:p>
    <w:p w:rsidR="00D3187C" w:rsidRPr="00D3187C" w:rsidRDefault="00D3187C" w:rsidP="00394971">
      <w:pPr>
        <w:spacing w:line="360" w:lineRule="auto"/>
        <w:jc w:val="both"/>
        <w:rPr>
          <w:rFonts w:ascii="Times New Roman" w:hAnsi="Times New Roman" w:cs="Times New Roman"/>
          <w:bCs/>
          <w:sz w:val="20"/>
          <w:szCs w:val="20"/>
          <w:u w:val="single"/>
        </w:rPr>
      </w:pPr>
      <w:r w:rsidRPr="00D3187C">
        <w:rPr>
          <w:rFonts w:ascii="Times New Roman" w:hAnsi="Times New Roman" w:cs="Times New Roman"/>
          <w:b/>
          <w:sz w:val="20"/>
          <w:szCs w:val="20"/>
          <w:u w:val="single"/>
        </w:rPr>
        <w:t>Sotto-sezione A “appalti sopra soglia”</w:t>
      </w:r>
    </w:p>
    <w:p w:rsidR="00D3187C" w:rsidRPr="00D3187C" w:rsidRDefault="00D3187C" w:rsidP="00D3187C">
      <w:pPr>
        <w:numPr>
          <w:ilvl w:val="0"/>
          <w:numId w:val="5"/>
        </w:numPr>
        <w:ind w:left="426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>aver patrocinato, nel corso dell’intera attività professionale,</w:t>
      </w:r>
      <w:r w:rsidR="00AC4897">
        <w:rPr>
          <w:rFonts w:ascii="Times New Roman" w:hAnsi="Times New Roman" w:cs="Times New Roman"/>
          <w:sz w:val="20"/>
          <w:szCs w:val="20"/>
        </w:rPr>
        <w:t xml:space="preserve"> come di seguito indicato,</w:t>
      </w:r>
      <w:r w:rsidRPr="00D3187C">
        <w:rPr>
          <w:rFonts w:ascii="Times New Roman" w:hAnsi="Times New Roman" w:cs="Times New Roman"/>
          <w:sz w:val="20"/>
          <w:szCs w:val="20"/>
        </w:rPr>
        <w:t xml:space="preserve"> </w:t>
      </w:r>
      <w:r w:rsidRPr="00D3187C">
        <w:rPr>
          <w:rFonts w:ascii="Times New Roman" w:hAnsi="Times New Roman" w:cs="Times New Roman"/>
          <w:b/>
          <w:sz w:val="20"/>
          <w:szCs w:val="20"/>
        </w:rPr>
        <w:t>almeno 35 giudizi</w:t>
      </w:r>
      <w:r w:rsidRPr="00D3187C">
        <w:rPr>
          <w:rFonts w:ascii="Times New Roman" w:hAnsi="Times New Roman" w:cs="Times New Roman"/>
          <w:sz w:val="20"/>
          <w:szCs w:val="20"/>
        </w:rPr>
        <w:t xml:space="preserve"> aventi ad oggetto </w:t>
      </w:r>
      <w:r w:rsidRPr="00D3187C">
        <w:rPr>
          <w:rFonts w:ascii="Times New Roman" w:hAnsi="Times New Roman" w:cs="Times New Roman"/>
          <w:b/>
          <w:sz w:val="20"/>
          <w:szCs w:val="20"/>
        </w:rPr>
        <w:t>contratti di importo superiore alla soglia comunitaria</w:t>
      </w:r>
      <w:r w:rsidRPr="00D3187C">
        <w:rPr>
          <w:rFonts w:ascii="Times New Roman" w:hAnsi="Times New Roman" w:cs="Times New Roman"/>
          <w:sz w:val="20"/>
          <w:szCs w:val="20"/>
        </w:rPr>
        <w:t xml:space="preserve"> nell’ambito della contrattualistica pubblica nell’interesse, indifferentemente, di stazioni appaltanti, oppure di ricorrenti, oppure di controinteressati in tali giudizi. Ai fini della presente lettera </w:t>
      </w:r>
      <w:r w:rsidRPr="00D3187C">
        <w:rPr>
          <w:rFonts w:ascii="Times New Roman" w:hAnsi="Times New Roman" w:cs="Times New Roman"/>
          <w:b/>
          <w:sz w:val="20"/>
          <w:szCs w:val="20"/>
        </w:rPr>
        <w:t>non</w:t>
      </w:r>
      <w:r w:rsidRPr="00D3187C">
        <w:rPr>
          <w:rFonts w:ascii="Times New Roman" w:hAnsi="Times New Roman" w:cs="Times New Roman"/>
          <w:sz w:val="20"/>
          <w:szCs w:val="20"/>
        </w:rPr>
        <w:t xml:space="preserve"> si tiene conto:</w:t>
      </w:r>
    </w:p>
    <w:p w:rsidR="00D3187C" w:rsidRPr="00D3187C" w:rsidRDefault="00D3187C" w:rsidP="00D3187C">
      <w:pPr>
        <w:numPr>
          <w:ilvl w:val="2"/>
          <w:numId w:val="6"/>
        </w:numPr>
        <w:ind w:left="1418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 xml:space="preserve">della prosecuzione nei successivi gradi di giudizio della medesima causa; </w:t>
      </w:r>
    </w:p>
    <w:p w:rsidR="00D3187C" w:rsidRPr="00D3187C" w:rsidRDefault="00D3187C" w:rsidP="00D3187C">
      <w:pPr>
        <w:numPr>
          <w:ilvl w:val="2"/>
          <w:numId w:val="6"/>
        </w:numPr>
        <w:ind w:left="1418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 xml:space="preserve">dei giudizi </w:t>
      </w:r>
      <w:r w:rsidRPr="00D3187C">
        <w:rPr>
          <w:rFonts w:ascii="Times New Roman" w:hAnsi="Times New Roman" w:cs="Times New Roman"/>
          <w:i/>
          <w:sz w:val="20"/>
          <w:szCs w:val="20"/>
        </w:rPr>
        <w:t>ex</w:t>
      </w:r>
      <w:r w:rsidRPr="00D3187C">
        <w:rPr>
          <w:rFonts w:ascii="Times New Roman" w:hAnsi="Times New Roman" w:cs="Times New Roman"/>
          <w:sz w:val="20"/>
          <w:szCs w:val="20"/>
        </w:rPr>
        <w:t xml:space="preserve"> art. 116 c.p.a.;</w:t>
      </w:r>
    </w:p>
    <w:p w:rsidR="00D3187C" w:rsidRPr="00D3187C" w:rsidRDefault="00D3187C" w:rsidP="00D3187C">
      <w:pPr>
        <w:numPr>
          <w:ilvl w:val="2"/>
          <w:numId w:val="6"/>
        </w:numPr>
        <w:ind w:left="1418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>degli affari che hanno avuto a oggetto questioni giuridiche identiche.</w:t>
      </w:r>
    </w:p>
    <w:p w:rsidR="00D3187C" w:rsidRDefault="00D3187C" w:rsidP="00D3187C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3187C" w:rsidRPr="00D3187C" w:rsidRDefault="00D3187C" w:rsidP="00D3187C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 xml:space="preserve">I giudizi di appello, di revocazione e di ottemperanza possono essere conteggiati autonomamente solo qualora il professionista non abbia patrocinato anche i giudizi precedenti ai medesimi. </w:t>
      </w:r>
    </w:p>
    <w:p w:rsidR="00D3187C" w:rsidRDefault="00D3187C" w:rsidP="00D3187C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3187C" w:rsidRDefault="00D3187C" w:rsidP="00D3187C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>Sono comunque esclusi i ricorsi per cassazione.</w:t>
      </w:r>
    </w:p>
    <w:p w:rsidR="008E514D" w:rsidRPr="00D2345D" w:rsidRDefault="008E514D" w:rsidP="0087488D">
      <w:pPr>
        <w:ind w:left="207" w:firstLine="708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</w:p>
    <w:tbl>
      <w:tblPr>
        <w:tblStyle w:val="Grigliatabella"/>
        <w:tblW w:w="9747" w:type="dxa"/>
        <w:tblLook w:val="04A0" w:firstRow="1" w:lastRow="0" w:firstColumn="1" w:lastColumn="0" w:noHBand="0" w:noVBand="1"/>
      </w:tblPr>
      <w:tblGrid>
        <w:gridCol w:w="416"/>
        <w:gridCol w:w="1710"/>
        <w:gridCol w:w="1166"/>
        <w:gridCol w:w="2406"/>
        <w:gridCol w:w="1783"/>
        <w:gridCol w:w="2266"/>
      </w:tblGrid>
      <w:tr w:rsidR="001C373A" w:rsidTr="00AB3B3E">
        <w:tc>
          <w:tcPr>
            <w:tcW w:w="416" w:type="dxa"/>
          </w:tcPr>
          <w:p w:rsidR="00BE4963" w:rsidRPr="00BE4963" w:rsidRDefault="00BE4963" w:rsidP="00BE4963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73" w:type="dxa"/>
            <w:vAlign w:val="center"/>
          </w:tcPr>
          <w:p w:rsidR="00BE4963" w:rsidRPr="00BE4963" w:rsidRDefault="00BE4963" w:rsidP="00D15E1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AUTORITÀ GIUDIZIARIA</w:t>
            </w:r>
          </w:p>
        </w:tc>
        <w:tc>
          <w:tcPr>
            <w:tcW w:w="1180" w:type="dxa"/>
            <w:vAlign w:val="center"/>
          </w:tcPr>
          <w:p w:rsidR="00BE4963" w:rsidRPr="00BE4963" w:rsidRDefault="00BE4963" w:rsidP="00D15E1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NUMERO E ANNO DI R.G.</w:t>
            </w:r>
          </w:p>
        </w:tc>
        <w:tc>
          <w:tcPr>
            <w:tcW w:w="2835" w:type="dxa"/>
            <w:vAlign w:val="center"/>
          </w:tcPr>
          <w:p w:rsidR="00BE4963" w:rsidRPr="00BE4963" w:rsidRDefault="00BE4963" w:rsidP="00D15E1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OGGETTO DELLA CAUSA</w:t>
            </w:r>
          </w:p>
        </w:tc>
        <w:tc>
          <w:tcPr>
            <w:tcW w:w="1206" w:type="dxa"/>
            <w:vAlign w:val="center"/>
          </w:tcPr>
          <w:p w:rsidR="00BE4963" w:rsidRPr="00BE4963" w:rsidRDefault="00011338" w:rsidP="00D15E1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VALORE DELL’APPALTO</w:t>
            </w:r>
          </w:p>
        </w:tc>
        <w:tc>
          <w:tcPr>
            <w:tcW w:w="2337" w:type="dxa"/>
            <w:vAlign w:val="center"/>
          </w:tcPr>
          <w:p w:rsidR="00BE4963" w:rsidRPr="00BE4963" w:rsidRDefault="00BE4963" w:rsidP="00D15E1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ESTREMI PROVVEDIMENTO GIURISDIZIONALE</w:t>
            </w:r>
            <w:r w:rsidR="00377E0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377E09" w:rsidRPr="00C02612">
              <w:rPr>
                <w:rFonts w:ascii="Times New Roman" w:hAnsi="Times New Roman" w:cs="Times New Roman"/>
                <w:b/>
                <w:sz w:val="20"/>
                <w:szCs w:val="20"/>
              </w:rPr>
              <w:t>CONCLUSIVO</w:t>
            </w:r>
            <w:r w:rsidR="00F161A4" w:rsidRPr="00C02612">
              <w:rPr>
                <w:rStyle w:val="Rimandonotaapidipagina"/>
                <w:rFonts w:ascii="Times New Roman" w:hAnsi="Times New Roman" w:cs="Times New Roman"/>
                <w:b/>
                <w:sz w:val="20"/>
                <w:szCs w:val="20"/>
              </w:rPr>
              <w:footnoteReference w:id="1"/>
            </w:r>
          </w:p>
        </w:tc>
      </w:tr>
      <w:tr w:rsidR="001C373A" w:rsidTr="00D3187C">
        <w:trPr>
          <w:trHeight w:val="230"/>
        </w:trPr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D3187C">
        <w:trPr>
          <w:trHeight w:val="306"/>
        </w:trPr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13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14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15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16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17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18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19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373A" w:rsidTr="007A1B05">
        <w:tc>
          <w:tcPr>
            <w:tcW w:w="416" w:type="dxa"/>
          </w:tcPr>
          <w:p w:rsidR="00BE4963" w:rsidRPr="00A77145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77145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773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BE4963" w:rsidRDefault="00BE496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Pr="00A77145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3187C" w:rsidTr="007A1B05">
        <w:tc>
          <w:tcPr>
            <w:tcW w:w="41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</w:t>
            </w:r>
          </w:p>
        </w:tc>
        <w:tc>
          <w:tcPr>
            <w:tcW w:w="1773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D3187C" w:rsidRDefault="00D3187C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F1503" w:rsidTr="007A1B05">
        <w:tc>
          <w:tcPr>
            <w:tcW w:w="416" w:type="dxa"/>
          </w:tcPr>
          <w:p w:rsidR="003F1503" w:rsidRDefault="003F150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773" w:type="dxa"/>
          </w:tcPr>
          <w:p w:rsidR="003F1503" w:rsidRDefault="003F150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3F1503" w:rsidRDefault="003F150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3F1503" w:rsidRDefault="003F150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3F1503" w:rsidRDefault="003F150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3F1503" w:rsidRDefault="003F1503" w:rsidP="0039177A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3187C" w:rsidRDefault="00D3187C" w:rsidP="00D3187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D3187C" w:rsidRPr="00D3187C" w:rsidRDefault="00D3187C" w:rsidP="00D3187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394971" w:rsidRDefault="00D3187C" w:rsidP="00D3187C">
      <w:pPr>
        <w:spacing w:line="360" w:lineRule="auto"/>
        <w:ind w:left="284"/>
        <w:rPr>
          <w:rFonts w:ascii="Times New Roman" w:hAnsi="Times New Roman" w:cs="Times New Roman"/>
          <w:b/>
          <w:sz w:val="20"/>
          <w:szCs w:val="20"/>
        </w:rPr>
      </w:pPr>
      <w:r w:rsidRPr="00D3187C">
        <w:rPr>
          <w:rFonts w:ascii="Times New Roman" w:hAnsi="Times New Roman" w:cs="Times New Roman"/>
          <w:b/>
          <w:sz w:val="20"/>
          <w:szCs w:val="20"/>
          <w:u w:val="single"/>
        </w:rPr>
        <w:t>S</w:t>
      </w:r>
      <w:r>
        <w:rPr>
          <w:rFonts w:ascii="Times New Roman" w:hAnsi="Times New Roman" w:cs="Times New Roman"/>
          <w:b/>
          <w:sz w:val="20"/>
          <w:szCs w:val="20"/>
          <w:u w:val="single"/>
        </w:rPr>
        <w:t>otto-sezione B</w:t>
      </w:r>
      <w:r w:rsidRPr="00D3187C">
        <w:rPr>
          <w:rFonts w:ascii="Times New Roman" w:hAnsi="Times New Roman" w:cs="Times New Roman"/>
          <w:b/>
          <w:sz w:val="20"/>
          <w:szCs w:val="20"/>
          <w:u w:val="single"/>
        </w:rPr>
        <w:t xml:space="preserve"> “appalti </w:t>
      </w:r>
      <w:r>
        <w:rPr>
          <w:rFonts w:ascii="Times New Roman" w:hAnsi="Times New Roman" w:cs="Times New Roman"/>
          <w:b/>
          <w:sz w:val="20"/>
          <w:szCs w:val="20"/>
          <w:u w:val="single"/>
        </w:rPr>
        <w:t>sotto</w:t>
      </w:r>
      <w:r w:rsidRPr="00D3187C">
        <w:rPr>
          <w:rFonts w:ascii="Times New Roman" w:hAnsi="Times New Roman" w:cs="Times New Roman"/>
          <w:b/>
          <w:sz w:val="20"/>
          <w:szCs w:val="20"/>
          <w:u w:val="single"/>
        </w:rPr>
        <w:t xml:space="preserve"> soglia”</w:t>
      </w:r>
    </w:p>
    <w:p w:rsidR="00D3187C" w:rsidRPr="00D3187C" w:rsidRDefault="00D3187C" w:rsidP="00D3187C">
      <w:pPr>
        <w:numPr>
          <w:ilvl w:val="0"/>
          <w:numId w:val="5"/>
        </w:numPr>
        <w:ind w:left="426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>aver patrocinato, nel corso dell’intera attività professionale,</w:t>
      </w:r>
      <w:r w:rsidR="00AC4897">
        <w:rPr>
          <w:rFonts w:ascii="Times New Roman" w:hAnsi="Times New Roman" w:cs="Times New Roman"/>
          <w:sz w:val="20"/>
          <w:szCs w:val="20"/>
        </w:rPr>
        <w:t xml:space="preserve"> come di seguito indicato,</w:t>
      </w:r>
      <w:r w:rsidRPr="00D3187C">
        <w:rPr>
          <w:rFonts w:ascii="Times New Roman" w:hAnsi="Times New Roman" w:cs="Times New Roman"/>
          <w:sz w:val="20"/>
          <w:szCs w:val="20"/>
        </w:rPr>
        <w:t xml:space="preserve"> </w:t>
      </w:r>
      <w:r w:rsidRPr="00D3187C">
        <w:rPr>
          <w:rFonts w:ascii="Times New Roman" w:hAnsi="Times New Roman" w:cs="Times New Roman"/>
          <w:b/>
          <w:sz w:val="20"/>
          <w:szCs w:val="20"/>
        </w:rPr>
        <w:t>almeno 20 giudizi</w:t>
      </w:r>
      <w:r w:rsidRPr="00D3187C">
        <w:rPr>
          <w:rFonts w:ascii="Times New Roman" w:hAnsi="Times New Roman" w:cs="Times New Roman"/>
          <w:sz w:val="20"/>
          <w:szCs w:val="20"/>
        </w:rPr>
        <w:t xml:space="preserve"> aventi ad oggetto </w:t>
      </w:r>
      <w:r w:rsidRPr="00D3187C">
        <w:rPr>
          <w:rFonts w:ascii="Times New Roman" w:hAnsi="Times New Roman" w:cs="Times New Roman"/>
          <w:b/>
          <w:sz w:val="20"/>
          <w:szCs w:val="20"/>
        </w:rPr>
        <w:t>contratti di importo, indifferentemente, superiore ovvero inferiore alla soglia comunitaria</w:t>
      </w:r>
      <w:r w:rsidRPr="00D3187C">
        <w:rPr>
          <w:rFonts w:ascii="Times New Roman" w:hAnsi="Times New Roman" w:cs="Times New Roman"/>
          <w:sz w:val="20"/>
          <w:szCs w:val="20"/>
        </w:rPr>
        <w:t xml:space="preserve">, nell’ambito della contrattualistica pubblica nell’interesse, indifferentemente, di stazioni appaltanti, oppure di ricorrenti, oppure di controinteressati in tali giudizi. Ai fini della presente lettera </w:t>
      </w:r>
      <w:r w:rsidRPr="00D3187C">
        <w:rPr>
          <w:rFonts w:ascii="Times New Roman" w:hAnsi="Times New Roman" w:cs="Times New Roman"/>
          <w:b/>
          <w:sz w:val="20"/>
          <w:szCs w:val="20"/>
        </w:rPr>
        <w:t>non</w:t>
      </w:r>
      <w:r w:rsidRPr="00D3187C">
        <w:rPr>
          <w:rFonts w:ascii="Times New Roman" w:hAnsi="Times New Roman" w:cs="Times New Roman"/>
          <w:sz w:val="20"/>
          <w:szCs w:val="20"/>
        </w:rPr>
        <w:t xml:space="preserve"> si tiene conto:</w:t>
      </w:r>
    </w:p>
    <w:p w:rsidR="00D3187C" w:rsidRPr="00D3187C" w:rsidRDefault="00D3187C" w:rsidP="00D3187C">
      <w:pPr>
        <w:numPr>
          <w:ilvl w:val="2"/>
          <w:numId w:val="6"/>
        </w:numPr>
        <w:ind w:left="1418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 xml:space="preserve">della prosecuzione nei successivi gradi di giudizio della medesima causa; </w:t>
      </w:r>
    </w:p>
    <w:p w:rsidR="00D3187C" w:rsidRPr="00D3187C" w:rsidRDefault="00D3187C" w:rsidP="00D3187C">
      <w:pPr>
        <w:numPr>
          <w:ilvl w:val="2"/>
          <w:numId w:val="6"/>
        </w:numPr>
        <w:ind w:left="1418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 xml:space="preserve">dei giudizi </w:t>
      </w:r>
      <w:r w:rsidRPr="00D3187C">
        <w:rPr>
          <w:rFonts w:ascii="Times New Roman" w:hAnsi="Times New Roman" w:cs="Times New Roman"/>
          <w:i/>
          <w:sz w:val="20"/>
          <w:szCs w:val="20"/>
        </w:rPr>
        <w:t>ex</w:t>
      </w:r>
      <w:r w:rsidRPr="00D3187C">
        <w:rPr>
          <w:rFonts w:ascii="Times New Roman" w:hAnsi="Times New Roman" w:cs="Times New Roman"/>
          <w:sz w:val="20"/>
          <w:szCs w:val="20"/>
        </w:rPr>
        <w:t xml:space="preserve"> art. 116 c.p.a.;</w:t>
      </w:r>
    </w:p>
    <w:p w:rsidR="00D3187C" w:rsidRDefault="00D3187C" w:rsidP="00D3187C">
      <w:pPr>
        <w:numPr>
          <w:ilvl w:val="2"/>
          <w:numId w:val="6"/>
        </w:numPr>
        <w:ind w:left="1418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>degli affari che hanno avuto a oggetto questioni giuridiche identiche.</w:t>
      </w:r>
    </w:p>
    <w:p w:rsidR="00D3187C" w:rsidRDefault="00D3187C" w:rsidP="00D3187C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3187C" w:rsidRPr="00D3187C" w:rsidRDefault="00D3187C" w:rsidP="00D3187C">
      <w:pPr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 xml:space="preserve">I giudizi di appello, di revocazione e di ottemperanza possono essere conteggiati autonomamente solo qualora il professionista non abbia patrocinato anche i giudizi precedenti ai medesimi. </w:t>
      </w:r>
    </w:p>
    <w:p w:rsidR="00D3187C" w:rsidRDefault="00D3187C" w:rsidP="00D3187C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3187C" w:rsidRDefault="00D3187C" w:rsidP="00D3187C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D3187C">
        <w:rPr>
          <w:rFonts w:ascii="Times New Roman" w:hAnsi="Times New Roman" w:cs="Times New Roman"/>
          <w:sz w:val="20"/>
          <w:szCs w:val="20"/>
        </w:rPr>
        <w:t>Sono comunque esclusi i ricorsi per cassazione.</w:t>
      </w:r>
    </w:p>
    <w:p w:rsidR="008E514D" w:rsidRPr="00D2345D" w:rsidRDefault="008E514D" w:rsidP="00002662">
      <w:pPr>
        <w:ind w:left="708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436"/>
        <w:gridCol w:w="1629"/>
        <w:gridCol w:w="1304"/>
        <w:gridCol w:w="2126"/>
        <w:gridCol w:w="1886"/>
        <w:gridCol w:w="2366"/>
      </w:tblGrid>
      <w:tr w:rsidR="0003675E" w:rsidRPr="007A1B05" w:rsidTr="00011338">
        <w:tc>
          <w:tcPr>
            <w:tcW w:w="436" w:type="dxa"/>
          </w:tcPr>
          <w:p w:rsidR="0003675E" w:rsidRPr="007A1B05" w:rsidRDefault="0003675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9" w:type="dxa"/>
            <w:vAlign w:val="center"/>
          </w:tcPr>
          <w:p w:rsidR="0003675E" w:rsidRPr="00FD1017" w:rsidRDefault="0003675E" w:rsidP="00D1731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AUTORITÀ GIUDIZIARIA</w:t>
            </w:r>
          </w:p>
        </w:tc>
        <w:tc>
          <w:tcPr>
            <w:tcW w:w="1304" w:type="dxa"/>
            <w:vAlign w:val="center"/>
          </w:tcPr>
          <w:p w:rsidR="0003675E" w:rsidRPr="00FD1017" w:rsidRDefault="0003675E" w:rsidP="00D1731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NUMERO E ANNO DI R.G.</w:t>
            </w:r>
          </w:p>
        </w:tc>
        <w:tc>
          <w:tcPr>
            <w:tcW w:w="2126" w:type="dxa"/>
            <w:vAlign w:val="center"/>
          </w:tcPr>
          <w:p w:rsidR="0003675E" w:rsidRPr="00FD1017" w:rsidRDefault="0003675E" w:rsidP="00D1731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OGGETTO DELLA CAUSA</w:t>
            </w:r>
          </w:p>
        </w:tc>
        <w:tc>
          <w:tcPr>
            <w:tcW w:w="1886" w:type="dxa"/>
            <w:vAlign w:val="center"/>
          </w:tcPr>
          <w:p w:rsidR="0003675E" w:rsidRPr="00FD1017" w:rsidRDefault="00011338" w:rsidP="00D1731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VALORE DELL’APPALTO</w:t>
            </w:r>
          </w:p>
        </w:tc>
        <w:tc>
          <w:tcPr>
            <w:tcW w:w="2366" w:type="dxa"/>
            <w:vAlign w:val="center"/>
          </w:tcPr>
          <w:p w:rsidR="0003675E" w:rsidRPr="00FD1017" w:rsidRDefault="0003675E" w:rsidP="00D1731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ESTREMI PROVVEDIMENTO GIURISDIZIONALE</w:t>
            </w:r>
          </w:p>
          <w:p w:rsidR="00750957" w:rsidRPr="00FD1017" w:rsidRDefault="00750957" w:rsidP="00D1731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CONCLUSIVO</w:t>
            </w:r>
            <w:r w:rsidR="00F161A4" w:rsidRPr="00FD1017">
              <w:rPr>
                <w:rStyle w:val="Rimandonotaapidipagina"/>
                <w:rFonts w:ascii="Times New Roman" w:hAnsi="Times New Roman" w:cs="Times New Roman"/>
                <w:b/>
                <w:sz w:val="20"/>
                <w:szCs w:val="20"/>
              </w:rPr>
              <w:footnoteReference w:id="2"/>
            </w: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3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13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14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15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16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17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18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19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675E" w:rsidRPr="007A1B05" w:rsidTr="00011338">
        <w:tc>
          <w:tcPr>
            <w:tcW w:w="43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629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03675E" w:rsidRPr="00FD1017" w:rsidRDefault="000367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2612" w:rsidRPr="007A1B05" w:rsidTr="00011338">
        <w:tc>
          <w:tcPr>
            <w:tcW w:w="436" w:type="dxa"/>
          </w:tcPr>
          <w:p w:rsidR="00C02612" w:rsidRPr="00FD1017" w:rsidRDefault="00C0261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D1017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629" w:type="dxa"/>
          </w:tcPr>
          <w:p w:rsidR="00C02612" w:rsidRPr="00FD1017" w:rsidRDefault="00C026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4" w:type="dxa"/>
          </w:tcPr>
          <w:p w:rsidR="00C02612" w:rsidRPr="00FD1017" w:rsidRDefault="00C026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C02612" w:rsidRPr="00FD1017" w:rsidRDefault="00C026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6" w:type="dxa"/>
          </w:tcPr>
          <w:p w:rsidR="00C02612" w:rsidRPr="00FD1017" w:rsidRDefault="00C026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C02612" w:rsidRPr="00FD1017" w:rsidRDefault="00C026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623CF" w:rsidRPr="007A1B05" w:rsidRDefault="00E61766">
      <w:pPr>
        <w:rPr>
          <w:rFonts w:ascii="Times New Roman" w:hAnsi="Times New Roman" w:cs="Times New Roman"/>
        </w:rPr>
      </w:pPr>
    </w:p>
    <w:sectPr w:rsidR="000623CF" w:rsidRPr="007A1B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766" w:rsidRDefault="00E61766" w:rsidP="00394971">
      <w:pPr>
        <w:spacing w:after="0" w:line="240" w:lineRule="auto"/>
      </w:pPr>
      <w:r>
        <w:separator/>
      </w:r>
    </w:p>
  </w:endnote>
  <w:endnote w:type="continuationSeparator" w:id="0">
    <w:p w:rsidR="00E61766" w:rsidRDefault="00E61766" w:rsidP="003949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766" w:rsidRDefault="00E61766" w:rsidP="00394971">
      <w:pPr>
        <w:spacing w:after="0" w:line="240" w:lineRule="auto"/>
      </w:pPr>
      <w:r>
        <w:separator/>
      </w:r>
    </w:p>
  </w:footnote>
  <w:footnote w:type="continuationSeparator" w:id="0">
    <w:p w:rsidR="00E61766" w:rsidRDefault="00E61766" w:rsidP="00394971">
      <w:pPr>
        <w:spacing w:after="0" w:line="240" w:lineRule="auto"/>
      </w:pPr>
      <w:r>
        <w:continuationSeparator/>
      </w:r>
    </w:p>
  </w:footnote>
  <w:footnote w:id="1">
    <w:p w:rsidR="00F161A4" w:rsidRPr="00F161A4" w:rsidRDefault="00F161A4">
      <w:pPr>
        <w:pStyle w:val="Testonotaapidipagina"/>
        <w:rPr>
          <w:rFonts w:ascii="Times New Roman" w:hAnsi="Times New Roman" w:cs="Times New Roman"/>
        </w:rPr>
      </w:pPr>
      <w:r w:rsidRPr="00C02612">
        <w:rPr>
          <w:rStyle w:val="Rimandonotaapidipagina"/>
          <w:rFonts w:ascii="Times New Roman" w:hAnsi="Times New Roman" w:cs="Times New Roman"/>
        </w:rPr>
        <w:footnoteRef/>
      </w:r>
      <w:r w:rsidRPr="00C02612">
        <w:rPr>
          <w:rFonts w:ascii="Times New Roman" w:hAnsi="Times New Roman" w:cs="Times New Roman"/>
        </w:rPr>
        <w:t xml:space="preserve"> Salvo che per i giudizi in corso.</w:t>
      </w:r>
    </w:p>
  </w:footnote>
  <w:footnote w:id="2">
    <w:p w:rsidR="00F161A4" w:rsidRPr="00F161A4" w:rsidRDefault="00F161A4" w:rsidP="00F161A4">
      <w:pPr>
        <w:pStyle w:val="Testonotaapidipagina"/>
        <w:rPr>
          <w:rFonts w:ascii="Times New Roman" w:hAnsi="Times New Roman" w:cs="Times New Roman"/>
        </w:rPr>
      </w:pPr>
      <w:r w:rsidRPr="00356850">
        <w:rPr>
          <w:rStyle w:val="Rimandonotaapidipagina"/>
          <w:rFonts w:ascii="Times New Roman" w:hAnsi="Times New Roman" w:cs="Times New Roman"/>
        </w:rPr>
        <w:footnoteRef/>
      </w:r>
      <w:r w:rsidRPr="00356850">
        <w:rPr>
          <w:rFonts w:ascii="Times New Roman" w:hAnsi="Times New Roman" w:cs="Times New Roman"/>
        </w:rPr>
        <w:t xml:space="preserve"> </w:t>
      </w:r>
      <w:r w:rsidRPr="00F161A4">
        <w:rPr>
          <w:rFonts w:ascii="Times New Roman" w:hAnsi="Times New Roman" w:cs="Times New Roman"/>
        </w:rPr>
        <w:t>Salvo che per i giudizi in corso</w:t>
      </w:r>
      <w:r>
        <w:rPr>
          <w:rFonts w:ascii="Times New Roman" w:hAnsi="Times New Roman" w:cs="Times New Roman"/>
        </w:rPr>
        <w:t>.</w:t>
      </w:r>
    </w:p>
    <w:p w:rsidR="00F161A4" w:rsidRDefault="00F161A4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82432"/>
    <w:multiLevelType w:val="hybridMultilevel"/>
    <w:tmpl w:val="254E7D6C"/>
    <w:lvl w:ilvl="0" w:tplc="10F4DF9E">
      <w:start w:val="1"/>
      <w:numFmt w:val="decimal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F102993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B986C992">
      <w:start w:val="11"/>
      <w:numFmt w:val="bullet"/>
      <w:lvlText w:val="-"/>
      <w:lvlJc w:val="left"/>
      <w:pPr>
        <w:ind w:left="2204" w:hanging="360"/>
      </w:pPr>
      <w:rPr>
        <w:rFonts w:ascii="Times New Roman" w:eastAsiaTheme="minorHAnsi" w:hAnsi="Times New Roman" w:cs="Times New Roman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431626"/>
    <w:multiLevelType w:val="hybridMultilevel"/>
    <w:tmpl w:val="F98C025A"/>
    <w:lvl w:ilvl="0" w:tplc="988839A2">
      <w:start w:val="1"/>
      <w:numFmt w:val="lowerLetter"/>
      <w:lvlText w:val="%1)"/>
      <w:lvlJc w:val="left"/>
      <w:pPr>
        <w:ind w:left="644" w:hanging="360"/>
      </w:pPr>
      <w:rPr>
        <w:rFonts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40F83134"/>
    <w:multiLevelType w:val="hybridMultilevel"/>
    <w:tmpl w:val="9B8819A4"/>
    <w:lvl w:ilvl="0" w:tplc="4AE465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70251E"/>
    <w:multiLevelType w:val="hybridMultilevel"/>
    <w:tmpl w:val="83A034D4"/>
    <w:lvl w:ilvl="0" w:tplc="0410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60473FF6"/>
    <w:multiLevelType w:val="hybridMultilevel"/>
    <w:tmpl w:val="9670DF5E"/>
    <w:lvl w:ilvl="0" w:tplc="0410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720164C1"/>
    <w:multiLevelType w:val="hybridMultilevel"/>
    <w:tmpl w:val="DC007A4E"/>
    <w:lvl w:ilvl="0" w:tplc="D1A2E654">
      <w:start w:val="1"/>
      <w:numFmt w:val="bullet"/>
      <w:lvlText w:val="□"/>
      <w:lvlJc w:val="left"/>
      <w:pPr>
        <w:ind w:left="1068" w:hanging="360"/>
      </w:pPr>
      <w:rPr>
        <w:rFonts w:ascii="Courier New" w:hAnsi="Courier New"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4B5B"/>
    <w:rsid w:val="00002662"/>
    <w:rsid w:val="00011338"/>
    <w:rsid w:val="0003675E"/>
    <w:rsid w:val="001C373A"/>
    <w:rsid w:val="00356850"/>
    <w:rsid w:val="00377E09"/>
    <w:rsid w:val="00383E64"/>
    <w:rsid w:val="0039177A"/>
    <w:rsid w:val="00394971"/>
    <w:rsid w:val="003F1503"/>
    <w:rsid w:val="00467DCE"/>
    <w:rsid w:val="004B4C72"/>
    <w:rsid w:val="00643614"/>
    <w:rsid w:val="00663A1E"/>
    <w:rsid w:val="00746A39"/>
    <w:rsid w:val="00750957"/>
    <w:rsid w:val="007A1B05"/>
    <w:rsid w:val="0087488D"/>
    <w:rsid w:val="008E514D"/>
    <w:rsid w:val="00995FCE"/>
    <w:rsid w:val="009F6BC9"/>
    <w:rsid w:val="00A64B5B"/>
    <w:rsid w:val="00A77145"/>
    <w:rsid w:val="00AB3B3E"/>
    <w:rsid w:val="00AC4897"/>
    <w:rsid w:val="00B147BD"/>
    <w:rsid w:val="00BE4963"/>
    <w:rsid w:val="00C02612"/>
    <w:rsid w:val="00D15E11"/>
    <w:rsid w:val="00D17314"/>
    <w:rsid w:val="00D2345D"/>
    <w:rsid w:val="00D3187C"/>
    <w:rsid w:val="00E61766"/>
    <w:rsid w:val="00F161A4"/>
    <w:rsid w:val="00F67087"/>
    <w:rsid w:val="00FD1017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3675E"/>
    <w:rPr>
      <w:rFonts w:ascii="Calibri" w:eastAsia="Calibri" w:hAnsi="Calibri" w:cs="SimSun"/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chiara-Colore3">
    <w:name w:val="Light Grid Accent 3"/>
    <w:basedOn w:val="Tabellanormale"/>
    <w:uiPriority w:val="62"/>
    <w:rsid w:val="00394971"/>
    <w:pPr>
      <w:spacing w:after="0" w:line="240" w:lineRule="auto"/>
    </w:pPr>
    <w:rPr>
      <w:rFonts w:ascii="Calibri" w:eastAsia="Calibri" w:hAnsi="Calibri" w:cs="SimSun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ascii="Cambria" w:eastAsia="SimSun" w:hAnsi="Cambria" w:cs="SimSu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mbria" w:eastAsia="SimSun" w:hAnsi="Cambria" w:cs="SimSu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mbria" w:eastAsia="SimSun" w:hAnsi="Cambria" w:cs="SimSun"/>
        <w:b/>
        <w:bCs/>
      </w:rPr>
    </w:tblStylePr>
    <w:tblStylePr w:type="lastCol">
      <w:rPr>
        <w:rFonts w:ascii="Cambria" w:eastAsia="SimSun" w:hAnsi="Cambria" w:cs="SimSu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paragraph" w:styleId="Paragrafoelenco">
    <w:name w:val="List Paragraph"/>
    <w:basedOn w:val="Normale"/>
    <w:uiPriority w:val="34"/>
    <w:qFormat/>
    <w:rsid w:val="0039497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rsid w:val="0039497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394971"/>
    <w:rPr>
      <w:rFonts w:ascii="Calibri" w:eastAsia="Calibri" w:hAnsi="Calibri" w:cs="SimSun"/>
      <w:noProof/>
      <w:sz w:val="20"/>
      <w:szCs w:val="20"/>
    </w:rPr>
  </w:style>
  <w:style w:type="character" w:styleId="Rimandonotaapidipagina">
    <w:name w:val="footnote reference"/>
    <w:basedOn w:val="Carpredefinitoparagrafo"/>
    <w:uiPriority w:val="99"/>
    <w:rsid w:val="00394971"/>
    <w:rPr>
      <w:vertAlign w:val="superscript"/>
    </w:rPr>
  </w:style>
  <w:style w:type="table" w:styleId="Grigliatabella">
    <w:name w:val="Table Grid"/>
    <w:basedOn w:val="Tabellanormale"/>
    <w:uiPriority w:val="59"/>
    <w:rsid w:val="00BE49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3675E"/>
    <w:rPr>
      <w:rFonts w:ascii="Calibri" w:eastAsia="Calibri" w:hAnsi="Calibri" w:cs="SimSun"/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chiara-Colore3">
    <w:name w:val="Light Grid Accent 3"/>
    <w:basedOn w:val="Tabellanormale"/>
    <w:uiPriority w:val="62"/>
    <w:rsid w:val="00394971"/>
    <w:pPr>
      <w:spacing w:after="0" w:line="240" w:lineRule="auto"/>
    </w:pPr>
    <w:rPr>
      <w:rFonts w:ascii="Calibri" w:eastAsia="Calibri" w:hAnsi="Calibri" w:cs="SimSun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ascii="Cambria" w:eastAsia="SimSun" w:hAnsi="Cambria" w:cs="SimSu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mbria" w:eastAsia="SimSun" w:hAnsi="Cambria" w:cs="SimSu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mbria" w:eastAsia="SimSun" w:hAnsi="Cambria" w:cs="SimSun"/>
        <w:b/>
        <w:bCs/>
      </w:rPr>
    </w:tblStylePr>
    <w:tblStylePr w:type="lastCol">
      <w:rPr>
        <w:rFonts w:ascii="Cambria" w:eastAsia="SimSun" w:hAnsi="Cambria" w:cs="SimSu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paragraph" w:styleId="Paragrafoelenco">
    <w:name w:val="List Paragraph"/>
    <w:basedOn w:val="Normale"/>
    <w:uiPriority w:val="34"/>
    <w:qFormat/>
    <w:rsid w:val="0039497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rsid w:val="0039497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394971"/>
    <w:rPr>
      <w:rFonts w:ascii="Calibri" w:eastAsia="Calibri" w:hAnsi="Calibri" w:cs="SimSun"/>
      <w:noProof/>
      <w:sz w:val="20"/>
      <w:szCs w:val="20"/>
    </w:rPr>
  </w:style>
  <w:style w:type="character" w:styleId="Rimandonotaapidipagina">
    <w:name w:val="footnote reference"/>
    <w:basedOn w:val="Carpredefinitoparagrafo"/>
    <w:uiPriority w:val="99"/>
    <w:rsid w:val="00394971"/>
    <w:rPr>
      <w:vertAlign w:val="superscript"/>
    </w:rPr>
  </w:style>
  <w:style w:type="table" w:styleId="Grigliatabella">
    <w:name w:val="Table Grid"/>
    <w:basedOn w:val="Tabellanormale"/>
    <w:uiPriority w:val="59"/>
    <w:rsid w:val="00BE49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6707ED-E9C9-40D4-AB93-0CBF583F0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del Veneto</Company>
  <LinksUpToDate>false</LinksUpToDate>
  <CharactersWithSpaces>2742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2021-11-09T07:38:00Z</dcterms:created>
  <dcterms:modified xsi:type="dcterms:W3CDTF">2021-11-09T07:38:00Z</dcterms:modified>
</cp:coreProperties>
</file>